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6A432">
      <w:pPr>
        <w:spacing w:before="119" w:line="499" w:lineRule="exact"/>
        <w:ind w:left="26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方正黑体_GBK" w:hAnsi="方正黑体_GBK" w:eastAsia="方正黑体_GBK" w:cs="方正黑体_GBK"/>
          <w:spacing w:val="-6"/>
          <w:position w:val="4"/>
          <w:sz w:val="31"/>
          <w:szCs w:val="31"/>
        </w:rPr>
        <w:t>附件</w:t>
      </w:r>
      <w:r>
        <w:rPr>
          <w:rFonts w:ascii="方正黑体_GBK" w:hAnsi="方正黑体_GBK" w:eastAsia="方正黑体_GBK" w:cs="方正黑体_GBK"/>
          <w:spacing w:val="26"/>
          <w:position w:val="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6"/>
          <w:position w:val="4"/>
          <w:sz w:val="31"/>
          <w:szCs w:val="31"/>
        </w:rPr>
        <w:t>1</w:t>
      </w:r>
    </w:p>
    <w:p w14:paraId="09631CA5">
      <w:pPr>
        <w:spacing w:line="234" w:lineRule="auto"/>
        <w:ind w:left="1159"/>
        <w:outlineLvl w:val="2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5"/>
          <w:sz w:val="43"/>
          <w:szCs w:val="43"/>
        </w:rPr>
        <w:t>大学生职业规划大赛成长赛道方案</w:t>
      </w:r>
    </w:p>
    <w:p w14:paraId="56538457">
      <w:pPr>
        <w:spacing w:line="437" w:lineRule="auto"/>
        <w:rPr>
          <w:rFonts w:ascii="Arial"/>
          <w:sz w:val="21"/>
        </w:rPr>
      </w:pPr>
    </w:p>
    <w:p w14:paraId="7ED54B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left="642"/>
        <w:textAlignment w:val="baseline"/>
        <w:outlineLvl w:val="1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2"/>
          <w:sz w:val="28"/>
          <w:szCs w:val="28"/>
        </w:rPr>
        <w:t>一、比赛内容</w:t>
      </w:r>
    </w:p>
    <w:p w14:paraId="624C826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line="600" w:lineRule="exact"/>
        <w:ind w:left="9" w:right="61" w:firstLine="633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6"/>
          <w:sz w:val="28"/>
          <w:szCs w:val="28"/>
        </w:rPr>
        <w:t>考察学生树立生涯发展理念并合理设定职业目标、围绕实现目标持续行动并不断调整的成长过程，通过学习实践提升综合素质和专业能力，体现正确的择业就业观念。参赛学生可获得实习</w:t>
      </w:r>
      <w:r>
        <w:rPr>
          <w:rFonts w:hint="eastAsia" w:ascii="仿宋_GB2312" w:hAnsi="仿宋_GB2312" w:eastAsia="仿宋_GB2312" w:cs="仿宋_GB2312"/>
          <w:spacing w:val="-1"/>
          <w:sz w:val="28"/>
          <w:szCs w:val="28"/>
        </w:rPr>
        <w:t>机会。</w:t>
      </w:r>
    </w:p>
    <w:p w14:paraId="247CA1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642"/>
        <w:textAlignment w:val="baseline"/>
        <w:outlineLvl w:val="1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二、参赛组别和对象</w:t>
      </w:r>
    </w:p>
    <w:p w14:paraId="63E3B84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7" w:line="600" w:lineRule="exact"/>
        <w:ind w:left="17" w:right="62" w:firstLine="632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6"/>
          <w:sz w:val="28"/>
          <w:szCs w:val="28"/>
        </w:rPr>
        <w:t>成长赛道设高教组和职教组，参赛对象为普通高等</w:t>
      </w:r>
      <w:r>
        <w:rPr>
          <w:rFonts w:hint="eastAsia" w:ascii="仿宋_GB2312" w:hAnsi="仿宋_GB2312" w:eastAsia="仿宋_GB2312" w:cs="仿宋_GB2312"/>
          <w:spacing w:val="5"/>
          <w:sz w:val="28"/>
          <w:szCs w:val="28"/>
        </w:rPr>
        <w:t>学校全日</w:t>
      </w:r>
      <w:r>
        <w:rPr>
          <w:rFonts w:hint="eastAsia" w:ascii="仿宋_GB2312" w:hAnsi="仿宋_GB2312" w:eastAsia="仿宋_GB2312" w:cs="仿宋_GB2312"/>
          <w:spacing w:val="6"/>
          <w:sz w:val="28"/>
          <w:szCs w:val="28"/>
        </w:rPr>
        <w:t>制本、专科非毕业年级在校学生。高教组主要面向普通本科</w:t>
      </w:r>
      <w:r>
        <w:rPr>
          <w:rFonts w:hint="eastAsia" w:ascii="仿宋_GB2312" w:hAnsi="仿宋_GB2312" w:eastAsia="仿宋_GB2312" w:cs="仿宋_GB2312"/>
          <w:spacing w:val="5"/>
          <w:sz w:val="28"/>
          <w:szCs w:val="28"/>
        </w:rPr>
        <w:t>非毕</w:t>
      </w:r>
      <w:r>
        <w:rPr>
          <w:rFonts w:hint="eastAsia" w:ascii="仿宋_GB2312" w:hAnsi="仿宋_GB2312" w:eastAsia="仿宋_GB2312" w:cs="仿宋_GB2312"/>
          <w:spacing w:val="6"/>
          <w:sz w:val="28"/>
          <w:szCs w:val="28"/>
        </w:rPr>
        <w:t>业年级学生，职教组主要面向职教本科、高职（专科）非毕业年</w:t>
      </w:r>
      <w:r>
        <w:rPr>
          <w:rFonts w:hint="eastAsia" w:ascii="仿宋_GB2312" w:hAnsi="仿宋_GB2312" w:eastAsia="仿宋_GB2312" w:cs="仿宋_GB2312"/>
          <w:spacing w:val="-1"/>
          <w:sz w:val="28"/>
          <w:szCs w:val="28"/>
        </w:rPr>
        <w:t>级学生。</w:t>
      </w:r>
    </w:p>
    <w:p w14:paraId="20A166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600" w:lineRule="exact"/>
        <w:ind w:left="643"/>
        <w:textAlignment w:val="baseline"/>
        <w:outlineLvl w:val="1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三、参赛材料要求</w:t>
      </w:r>
    </w:p>
    <w:p w14:paraId="138CAAA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1" w:line="600" w:lineRule="exact"/>
        <w:jc w:val="right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5"/>
          <w:position w:val="5"/>
          <w:sz w:val="28"/>
          <w:szCs w:val="28"/>
        </w:rPr>
        <w:t>选手在大赛平台（网址：</w: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sz w:val="28"/>
          <w:szCs w:val="28"/>
        </w:rPr>
        <w:instrText xml:space="preserve"> HYPERLINK "zgs.chsi.com.cn" </w:instrText>
      </w:r>
      <w:r>
        <w:rPr>
          <w:rFonts w:hint="eastAsia" w:ascii="仿宋_GB2312" w:hAnsi="仿宋_GB2312" w:eastAsia="仿宋_GB2312" w:cs="仿宋_GB2312"/>
          <w:sz w:val="28"/>
          <w:szCs w:val="28"/>
        </w:rPr>
        <w:fldChar w:fldCharType="separate"/>
      </w:r>
      <w:r>
        <w:rPr>
          <w:rFonts w:hint="eastAsia" w:ascii="仿宋_GB2312" w:hAnsi="仿宋_GB2312" w:eastAsia="仿宋_GB2312" w:cs="仿宋_GB2312"/>
          <w:spacing w:val="-5"/>
          <w:position w:val="5"/>
          <w:sz w:val="28"/>
          <w:szCs w:val="28"/>
        </w:rPr>
        <w:t>zgs.chsi.com.cn</w:t>
      </w:r>
      <w:r>
        <w:rPr>
          <w:rFonts w:hint="eastAsia" w:ascii="仿宋_GB2312" w:hAnsi="仿宋_GB2312" w:eastAsia="仿宋_GB2312" w:cs="仿宋_GB2312"/>
          <w:spacing w:val="-5"/>
          <w:position w:val="5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spacing w:val="-5"/>
          <w:position w:val="5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pacing w:val="-6"/>
          <w:position w:val="5"/>
          <w:sz w:val="28"/>
          <w:szCs w:val="28"/>
        </w:rPr>
        <w:t>提交以下参赛材料：</w:t>
      </w:r>
    </w:p>
    <w:p w14:paraId="41C0D4C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6" w:line="600" w:lineRule="exact"/>
        <w:ind w:left="28" w:right="71" w:firstLine="587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7"/>
          <w:sz w:val="28"/>
          <w:szCs w:val="28"/>
        </w:rPr>
        <w:t>（一）生涯发展报告：介绍设定职业目标的过程；实现职业</w:t>
      </w:r>
      <w:r>
        <w:rPr>
          <w:rFonts w:hint="eastAsia" w:ascii="仿宋_GB2312" w:hAnsi="仿宋_GB2312" w:eastAsia="仿宋_GB2312" w:cs="仿宋_GB2312"/>
          <w:spacing w:val="8"/>
          <w:sz w:val="28"/>
          <w:szCs w:val="28"/>
        </w:rPr>
        <w:t>目标的具体行动和成效；职业目标及行动的动态调整</w:t>
      </w:r>
      <w:r>
        <w:rPr>
          <w:rFonts w:hint="eastAsia" w:ascii="仿宋_GB2312" w:hAnsi="仿宋_GB2312" w:eastAsia="仿宋_GB2312" w:cs="仿宋_GB2312"/>
          <w:spacing w:val="7"/>
          <w:sz w:val="28"/>
          <w:szCs w:val="28"/>
        </w:rPr>
        <w:t>等（</w:t>
      </w:r>
      <w:r>
        <w:rPr>
          <w:rFonts w:hint="eastAsia" w:ascii="仿宋_GB2312" w:hAnsi="仿宋_GB2312" w:eastAsia="仿宋_GB2312" w:cs="仿宋_GB2312"/>
          <w:sz w:val="28"/>
          <w:szCs w:val="28"/>
        </w:rPr>
        <w:t>PDF</w:t>
      </w:r>
      <w:r>
        <w:rPr>
          <w:rFonts w:hint="eastAsia" w:ascii="仿宋_GB2312" w:hAnsi="仿宋_GB2312" w:eastAsia="仿宋_GB2312" w:cs="仿宋_GB2312"/>
          <w:spacing w:val="7"/>
          <w:sz w:val="28"/>
          <w:szCs w:val="28"/>
        </w:rPr>
        <w:t>格</w:t>
      </w:r>
      <w:r>
        <w:rPr>
          <w:rFonts w:hint="eastAsia" w:ascii="仿宋_GB2312" w:hAnsi="仿宋_GB2312" w:eastAsia="仿宋_GB2312" w:cs="仿宋_GB2312"/>
          <w:sz w:val="28"/>
          <w:szCs w:val="28"/>
        </w:rPr>
        <w:t>式，不超过</w:t>
      </w:r>
      <w:r>
        <w:rPr>
          <w:rFonts w:hint="eastAsia" w:ascii="仿宋_GB2312" w:hAnsi="仿宋_GB2312" w:eastAsia="仿宋_GB2312" w:cs="仿宋_GB2312"/>
          <w:spacing w:val="-11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10MB，文字不超过2000</w:t>
      </w:r>
      <w:r>
        <w:rPr>
          <w:rFonts w:hint="eastAsia" w:ascii="仿宋_GB2312" w:hAnsi="仿宋_GB2312" w:eastAsia="仿宋_GB2312" w:cs="仿宋_GB2312"/>
          <w:spacing w:val="37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字，</w:t>
      </w:r>
      <w:r>
        <w:rPr>
          <w:rFonts w:hint="eastAsia" w:ascii="仿宋_GB2312" w:hAnsi="仿宋_GB2312" w:eastAsia="仿宋_GB2312" w:cs="仿宋_GB2312"/>
          <w:spacing w:val="-74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图表不超过</w:t>
      </w:r>
      <w:r>
        <w:rPr>
          <w:rFonts w:hint="eastAsia" w:ascii="仿宋_GB2312" w:hAnsi="仿宋_GB2312" w:eastAsia="仿宋_GB2312" w:cs="仿宋_GB2312"/>
          <w:spacing w:val="-5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5张。</w:t>
      </w:r>
    </w:p>
    <w:p w14:paraId="70FC6B6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600" w:lineRule="exact"/>
        <w:ind w:left="615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5"/>
          <w:sz w:val="28"/>
          <w:szCs w:val="28"/>
        </w:rPr>
        <w:t>（二）生涯发展展示（</w:t>
      </w:r>
      <w:r>
        <w:rPr>
          <w:rFonts w:hint="eastAsia" w:ascii="仿宋_GB2312" w:hAnsi="仿宋_GB2312" w:eastAsia="仿宋_GB2312" w:cs="仿宋_GB2312"/>
          <w:sz w:val="28"/>
          <w:szCs w:val="28"/>
        </w:rPr>
        <w:t>PPT</w:t>
      </w:r>
      <w:r>
        <w:rPr>
          <w:rFonts w:hint="eastAsia" w:ascii="仿宋_GB2312" w:hAnsi="仿宋_GB2312" w:eastAsia="仿宋_GB2312" w:cs="仿宋_GB2312"/>
          <w:spacing w:val="5"/>
          <w:sz w:val="28"/>
          <w:szCs w:val="28"/>
        </w:rPr>
        <w:t xml:space="preserve"> 格式，不超过</w:t>
      </w:r>
      <w:r>
        <w:rPr>
          <w:rFonts w:hint="eastAsia" w:ascii="仿宋_GB2312" w:hAnsi="仿宋_GB2312" w:eastAsia="仿宋_GB2312" w:cs="仿宋_GB2312"/>
          <w:spacing w:val="-31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sz w:val="28"/>
          <w:szCs w:val="28"/>
        </w:rPr>
        <w:t>50</w:t>
      </w:r>
      <w:r>
        <w:rPr>
          <w:rFonts w:hint="eastAsia" w:ascii="仿宋_GB2312" w:hAnsi="仿宋_GB2312" w:eastAsia="仿宋_GB2312" w:cs="仿宋_GB2312"/>
          <w:sz w:val="28"/>
          <w:szCs w:val="28"/>
        </w:rPr>
        <w:t>MB</w:t>
      </w:r>
      <w:r>
        <w:rPr>
          <w:rFonts w:hint="eastAsia" w:ascii="仿宋_GB2312" w:hAnsi="仿宋_GB2312" w:eastAsia="仿宋_GB2312" w:cs="仿宋_GB2312"/>
          <w:spacing w:val="5"/>
          <w:sz w:val="28"/>
          <w:szCs w:val="28"/>
        </w:rPr>
        <w:t>）。</w:t>
      </w:r>
    </w:p>
    <w:p w14:paraId="05279EC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6" w:line="600" w:lineRule="exact"/>
        <w:ind w:right="61" w:firstLine="615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7"/>
          <w:sz w:val="28"/>
          <w:szCs w:val="28"/>
        </w:rPr>
        <w:t>（三）进入省级复赛的选手，需在指定平台提交生涯发展报告、生涯发展展示及视频（生涯发展展示的影像视频，</w:t>
      </w:r>
      <w:r>
        <w:rPr>
          <w:rFonts w:hint="eastAsia" w:ascii="仿宋_GB2312" w:hAnsi="仿宋_GB2312" w:eastAsia="仿宋_GB2312" w:cs="仿宋_GB2312"/>
          <w:spacing w:val="6"/>
          <w:sz w:val="28"/>
          <w:szCs w:val="28"/>
        </w:rPr>
        <w:t>时间不超</w:t>
      </w:r>
      <w:r>
        <w:rPr>
          <w:rFonts w:hint="eastAsia" w:ascii="仿宋_GB2312" w:hAnsi="仿宋_GB2312" w:eastAsia="仿宋_GB2312" w:cs="仿宋_GB2312"/>
          <w:spacing w:val="1"/>
          <w:sz w:val="28"/>
          <w:szCs w:val="28"/>
        </w:rPr>
        <w:t>过</w:t>
      </w:r>
      <w:r>
        <w:rPr>
          <w:rFonts w:hint="eastAsia" w:ascii="仿宋_GB2312" w:hAnsi="仿宋_GB2312" w:eastAsia="仿宋_GB2312" w:cs="仿宋_GB2312"/>
          <w:spacing w:val="-69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28"/>
          <w:szCs w:val="28"/>
        </w:rPr>
        <w:t>4 分钟，文件为</w:t>
      </w:r>
      <w:r>
        <w:rPr>
          <w:rFonts w:hint="eastAsia" w:ascii="仿宋_GB2312" w:hAnsi="仿宋_GB2312" w:eastAsia="仿宋_GB2312" w:cs="仿宋_GB2312"/>
          <w:spacing w:val="-73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MP</w:t>
      </w:r>
      <w:r>
        <w:rPr>
          <w:rFonts w:hint="eastAsia" w:ascii="仿宋_GB2312" w:hAnsi="仿宋_GB2312" w:eastAsia="仿宋_GB2312" w:cs="仿宋_GB2312"/>
          <w:spacing w:val="1"/>
          <w:sz w:val="28"/>
          <w:szCs w:val="28"/>
        </w:rPr>
        <w:t>4 格式，要求画面清晰，播放流畅，大小不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</w:rPr>
        <w:t>超过</w:t>
      </w:r>
      <w:r>
        <w:rPr>
          <w:rFonts w:hint="eastAsia" w:ascii="仿宋_GB2312" w:hAnsi="仿宋_GB2312" w:eastAsia="仿宋_GB2312" w:cs="仿宋_GB2312"/>
          <w:spacing w:val="-7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</w:rPr>
        <w:t>400M）。</w:t>
      </w:r>
    </w:p>
    <w:p w14:paraId="44AC15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  <w:sectPr>
          <w:pgSz w:w="11906" w:h="16838"/>
          <w:pgMar w:top="1431" w:right="1433" w:bottom="1755" w:left="1537" w:header="0" w:footer="1389" w:gutter="0"/>
          <w:cols w:space="720" w:num="1"/>
        </w:sectPr>
      </w:pPr>
    </w:p>
    <w:p w14:paraId="2AEBC49C">
      <w:pPr>
        <w:spacing w:before="101" w:line="228" w:lineRule="auto"/>
        <w:outlineLvl w:val="1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1"/>
          <w:sz w:val="28"/>
          <w:szCs w:val="28"/>
        </w:rPr>
        <w:t>四、比赛环节</w:t>
      </w:r>
    </w:p>
    <w:p w14:paraId="179EFEC4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  <w:t xml:space="preserve">（一）省赛复赛：参照全国总决赛评审规则，评委对参赛材料进行网络评审，确定入围省级决赛参赛选手。 </w:t>
      </w:r>
    </w:p>
    <w:p w14:paraId="65A5A667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8"/>
          <w:szCs w:val="28"/>
          <w:lang w:val="en-US" w:eastAsia="zh-CN" w:bidi="ar"/>
        </w:rPr>
        <w:t>（二）省级决赛：具体事宜另行通知。</w:t>
      </w:r>
    </w:p>
    <w:p w14:paraId="204EB857">
      <w:pPr>
        <w:pStyle w:val="2"/>
        <w:spacing w:before="124" w:line="501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3"/>
          <w:position w:val="4"/>
          <w:sz w:val="28"/>
          <w:szCs w:val="28"/>
        </w:rPr>
        <w:t>1.主题陈述（7 分钟</w:t>
      </w:r>
      <w:r>
        <w:rPr>
          <w:rFonts w:hint="eastAsia" w:ascii="仿宋_GB2312" w:hAnsi="仿宋_GB2312" w:eastAsia="仿宋_GB2312" w:cs="仿宋_GB2312"/>
          <w:spacing w:val="-18"/>
          <w:position w:val="4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pacing w:val="-75"/>
          <w:position w:val="4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pacing w:val="-18"/>
          <w:position w:val="4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pacing w:val="3"/>
          <w:position w:val="4"/>
          <w:sz w:val="28"/>
          <w:szCs w:val="28"/>
        </w:rPr>
        <w:t>选手结合生涯发展报告作陈述。</w:t>
      </w:r>
    </w:p>
    <w:p w14:paraId="1200C214">
      <w:pPr>
        <w:pStyle w:val="2"/>
        <w:spacing w:before="39" w:line="501" w:lineRule="exact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3"/>
          <w:position w:val="4"/>
          <w:sz w:val="28"/>
          <w:szCs w:val="28"/>
        </w:rPr>
        <w:t>2.评委提问（5 分钟</w:t>
      </w:r>
      <w:r>
        <w:rPr>
          <w:rFonts w:hint="eastAsia" w:ascii="仿宋_GB2312" w:hAnsi="仿宋_GB2312" w:eastAsia="仿宋_GB2312" w:cs="仿宋_GB2312"/>
          <w:spacing w:val="-17"/>
          <w:position w:val="4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pacing w:val="-76"/>
          <w:position w:val="4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pacing w:val="-17"/>
          <w:position w:val="4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pacing w:val="3"/>
          <w:position w:val="4"/>
          <w:sz w:val="28"/>
          <w:szCs w:val="28"/>
        </w:rPr>
        <w:t>评委结合选手陈述和现场表现提问。</w:t>
      </w:r>
    </w:p>
    <w:p w14:paraId="40E29C28">
      <w:pPr>
        <w:spacing w:before="103" w:line="227" w:lineRule="auto"/>
        <w:ind w:left="763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五、评审标准</w:t>
      </w:r>
    </w:p>
    <w:p w14:paraId="32E63F1F">
      <w:pPr>
        <w:spacing w:line="73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tbl>
      <w:tblPr>
        <w:tblStyle w:val="9"/>
        <w:tblW w:w="906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8"/>
        <w:gridCol w:w="6755"/>
        <w:gridCol w:w="857"/>
      </w:tblGrid>
      <w:tr w14:paraId="764331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448" w:type="dxa"/>
            <w:vAlign w:val="top"/>
          </w:tcPr>
          <w:p w14:paraId="618739D5">
            <w:pPr>
              <w:spacing w:before="153" w:line="224" w:lineRule="auto"/>
              <w:ind w:left="456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指标</w:t>
            </w:r>
          </w:p>
        </w:tc>
        <w:tc>
          <w:tcPr>
            <w:tcW w:w="6755" w:type="dxa"/>
            <w:vAlign w:val="top"/>
          </w:tcPr>
          <w:p w14:paraId="489A47D2">
            <w:pPr>
              <w:spacing w:before="153" w:line="222" w:lineRule="auto"/>
              <w:ind w:left="311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说明</w:t>
            </w:r>
          </w:p>
        </w:tc>
        <w:tc>
          <w:tcPr>
            <w:tcW w:w="857" w:type="dxa"/>
            <w:vAlign w:val="top"/>
          </w:tcPr>
          <w:p w14:paraId="3BFEC275">
            <w:pPr>
              <w:spacing w:before="154" w:line="223" w:lineRule="auto"/>
              <w:ind w:left="16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</w:rPr>
              <w:t>分值</w:t>
            </w:r>
          </w:p>
        </w:tc>
      </w:tr>
      <w:tr w14:paraId="4F28F0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1448" w:type="dxa"/>
            <w:vMerge w:val="restart"/>
            <w:tcBorders>
              <w:bottom w:val="nil"/>
            </w:tcBorders>
            <w:vAlign w:val="top"/>
          </w:tcPr>
          <w:p w14:paraId="429F1EB8">
            <w:pPr>
              <w:pStyle w:val="10"/>
              <w:spacing w:line="283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E340486">
            <w:pPr>
              <w:pStyle w:val="10"/>
              <w:spacing w:line="284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06F6F10">
            <w:pPr>
              <w:pStyle w:val="10"/>
              <w:spacing w:line="284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2855A9F">
            <w:pPr>
              <w:spacing w:before="102" w:line="228" w:lineRule="auto"/>
              <w:ind w:left="194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职业目标</w:t>
            </w:r>
          </w:p>
        </w:tc>
        <w:tc>
          <w:tcPr>
            <w:tcW w:w="6755" w:type="dxa"/>
            <w:vAlign w:val="top"/>
          </w:tcPr>
          <w:p w14:paraId="3CACA719">
            <w:pPr>
              <w:spacing w:before="207" w:line="263" w:lineRule="auto"/>
              <w:ind w:left="123" w:right="77" w:firstLine="3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职业目标能够将个人理想与国家需要、经济社会发展相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结合，体现正确的择业就业观念</w:t>
            </w:r>
          </w:p>
        </w:tc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31061412">
            <w:pPr>
              <w:pStyle w:val="10"/>
              <w:spacing w:line="281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770F33F">
            <w:pPr>
              <w:pStyle w:val="10"/>
              <w:spacing w:line="281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BB61A1A">
            <w:pPr>
              <w:pStyle w:val="10"/>
              <w:spacing w:line="282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6C7DCBB">
            <w:pPr>
              <w:spacing w:before="80" w:line="369" w:lineRule="exact"/>
              <w:ind w:left="294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position w:val="2"/>
                <w:sz w:val="28"/>
                <w:szCs w:val="28"/>
              </w:rPr>
              <w:t>25</w:t>
            </w:r>
          </w:p>
        </w:tc>
      </w:tr>
      <w:tr w14:paraId="200511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4" w:hRule="atLeast"/>
        </w:trPr>
        <w:tc>
          <w:tcPr>
            <w:tcW w:w="1448" w:type="dxa"/>
            <w:vMerge w:val="continue"/>
            <w:tcBorders>
              <w:top w:val="nil"/>
            </w:tcBorders>
            <w:vAlign w:val="top"/>
          </w:tcPr>
          <w:p w14:paraId="11B29C91">
            <w:pPr>
              <w:pStyle w:val="1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755" w:type="dxa"/>
            <w:vAlign w:val="top"/>
          </w:tcPr>
          <w:p w14:paraId="149DCAA2">
            <w:pPr>
              <w:spacing w:before="175" w:line="272" w:lineRule="auto"/>
              <w:ind w:left="118" w:right="75" w:firstLine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结合学科专业，多渠道了解相关行业发展趋势和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就业市</w:t>
            </w: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场需求，综合分析个人价值追求、能力优势、兴趣偏好</w:t>
            </w:r>
          </w:p>
        </w:tc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4FD8C0A1">
            <w:pPr>
              <w:pStyle w:val="1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B2FC7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1448" w:type="dxa"/>
            <w:vMerge w:val="restart"/>
            <w:tcBorders>
              <w:bottom w:val="nil"/>
            </w:tcBorders>
            <w:vAlign w:val="top"/>
          </w:tcPr>
          <w:p w14:paraId="133408F0">
            <w:pPr>
              <w:pStyle w:val="10"/>
              <w:spacing w:line="254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89D3A1F">
            <w:pPr>
              <w:pStyle w:val="10"/>
              <w:spacing w:line="254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C55CF7E">
            <w:pPr>
              <w:pStyle w:val="10"/>
              <w:spacing w:line="255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2E21896">
            <w:pPr>
              <w:pStyle w:val="10"/>
              <w:spacing w:line="255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68AA295">
            <w:pPr>
              <w:spacing w:before="103" w:line="348" w:lineRule="auto"/>
              <w:ind w:left="462" w:right="162" w:hanging="26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学习实践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行动</w:t>
            </w:r>
          </w:p>
        </w:tc>
        <w:tc>
          <w:tcPr>
            <w:tcW w:w="6755" w:type="dxa"/>
            <w:vAlign w:val="top"/>
          </w:tcPr>
          <w:p w14:paraId="104BF03D">
            <w:pPr>
              <w:spacing w:before="174" w:line="252" w:lineRule="auto"/>
              <w:ind w:left="124" w:right="77" w:hanging="4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基于职业发展方向或目标的能力特征和要求，科学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分析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差距，制定合理可行的学习、实践计划</w:t>
            </w:r>
          </w:p>
        </w:tc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3E3A73F6">
            <w:pPr>
              <w:pStyle w:val="10"/>
              <w:spacing w:line="259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5D6927C">
            <w:pPr>
              <w:pStyle w:val="10"/>
              <w:spacing w:line="259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8E938A9">
            <w:pPr>
              <w:pStyle w:val="10"/>
              <w:spacing w:line="259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FCF7289">
            <w:pPr>
              <w:pStyle w:val="10"/>
              <w:spacing w:line="2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8E4BE87">
            <w:pPr>
              <w:pStyle w:val="10"/>
              <w:spacing w:line="26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E017A3B">
            <w:pPr>
              <w:spacing w:before="81" w:line="368" w:lineRule="exact"/>
              <w:ind w:left="301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position w:val="2"/>
                <w:sz w:val="28"/>
                <w:szCs w:val="28"/>
              </w:rPr>
              <w:t>50</w:t>
            </w:r>
          </w:p>
        </w:tc>
      </w:tr>
      <w:tr w14:paraId="2F72A5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1448" w:type="dxa"/>
            <w:vMerge w:val="continue"/>
            <w:tcBorders>
              <w:top w:val="nil"/>
              <w:bottom w:val="nil"/>
            </w:tcBorders>
            <w:vAlign w:val="top"/>
          </w:tcPr>
          <w:p w14:paraId="1E7D11C7">
            <w:pPr>
              <w:pStyle w:val="1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755" w:type="dxa"/>
            <w:vAlign w:val="top"/>
          </w:tcPr>
          <w:p w14:paraId="61D525FC">
            <w:pPr>
              <w:spacing w:before="177" w:line="251" w:lineRule="auto"/>
              <w:ind w:left="121" w:right="28" w:firstLine="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结合学校育人特色和所学专业，充分挖掘、利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用学校、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社会等各种资源开展学习实践</w:t>
            </w:r>
          </w:p>
        </w:tc>
        <w:tc>
          <w:tcPr>
            <w:tcW w:w="857" w:type="dxa"/>
            <w:vMerge w:val="continue"/>
            <w:tcBorders>
              <w:top w:val="nil"/>
              <w:bottom w:val="nil"/>
            </w:tcBorders>
            <w:vAlign w:val="top"/>
          </w:tcPr>
          <w:p w14:paraId="49BA84ED">
            <w:pPr>
              <w:pStyle w:val="1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2669C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 w:hRule="atLeast"/>
        </w:trPr>
        <w:tc>
          <w:tcPr>
            <w:tcW w:w="1448" w:type="dxa"/>
            <w:vMerge w:val="continue"/>
            <w:tcBorders>
              <w:top w:val="nil"/>
            </w:tcBorders>
            <w:vAlign w:val="top"/>
          </w:tcPr>
          <w:p w14:paraId="39B69341">
            <w:pPr>
              <w:pStyle w:val="1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755" w:type="dxa"/>
            <w:vAlign w:val="top"/>
          </w:tcPr>
          <w:p w14:paraId="42F3B8DA">
            <w:pPr>
              <w:spacing w:before="175" w:line="252" w:lineRule="auto"/>
              <w:ind w:left="120" w:right="97" w:hanging="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在学习实践行动中克服困难、灵活应变、积极进取，取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得阶段性成果</w:t>
            </w:r>
          </w:p>
        </w:tc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574E0D29">
            <w:pPr>
              <w:pStyle w:val="1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883BE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1448" w:type="dxa"/>
            <w:vMerge w:val="restart"/>
            <w:tcBorders>
              <w:bottom w:val="nil"/>
            </w:tcBorders>
            <w:vAlign w:val="top"/>
          </w:tcPr>
          <w:p w14:paraId="18386677">
            <w:pPr>
              <w:pStyle w:val="10"/>
              <w:spacing w:line="286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CB31B7D">
            <w:pPr>
              <w:pStyle w:val="10"/>
              <w:spacing w:line="286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F1CDA0B">
            <w:pPr>
              <w:pStyle w:val="10"/>
              <w:spacing w:line="286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0588C02">
            <w:pPr>
              <w:spacing w:before="103" w:line="223" w:lineRule="auto"/>
              <w:ind w:left="187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优化改进</w:t>
            </w:r>
          </w:p>
        </w:tc>
        <w:tc>
          <w:tcPr>
            <w:tcW w:w="6755" w:type="dxa"/>
            <w:vAlign w:val="top"/>
          </w:tcPr>
          <w:p w14:paraId="36775FFA">
            <w:pPr>
              <w:spacing w:before="185" w:line="253" w:lineRule="auto"/>
              <w:ind w:left="120" w:right="78" w:hanging="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及时对学习实践行动成效进行自我评估和反思，总结分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析收获、不足和原因</w:t>
            </w:r>
          </w:p>
        </w:tc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58B61C15">
            <w:pPr>
              <w:pStyle w:val="10"/>
              <w:spacing w:line="284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07333AE">
            <w:pPr>
              <w:pStyle w:val="10"/>
              <w:spacing w:line="284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88A0114">
            <w:pPr>
              <w:pStyle w:val="10"/>
              <w:spacing w:line="284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F84861C">
            <w:pPr>
              <w:spacing w:before="80" w:line="369" w:lineRule="exact"/>
              <w:ind w:left="294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position w:val="2"/>
                <w:sz w:val="28"/>
                <w:szCs w:val="28"/>
              </w:rPr>
              <w:t>25</w:t>
            </w:r>
          </w:p>
        </w:tc>
      </w:tr>
      <w:tr w14:paraId="04A2E5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atLeast"/>
        </w:trPr>
        <w:tc>
          <w:tcPr>
            <w:tcW w:w="1448" w:type="dxa"/>
            <w:vMerge w:val="continue"/>
            <w:tcBorders>
              <w:top w:val="nil"/>
            </w:tcBorders>
            <w:vAlign w:val="top"/>
          </w:tcPr>
          <w:p w14:paraId="2D2027EE">
            <w:pPr>
              <w:pStyle w:val="1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755" w:type="dxa"/>
            <w:vAlign w:val="top"/>
          </w:tcPr>
          <w:p w14:paraId="3AC52D6A">
            <w:pPr>
              <w:spacing w:before="243" w:line="270" w:lineRule="auto"/>
              <w:ind w:left="131" w:right="77" w:hanging="13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8"/>
                <w:szCs w:val="28"/>
              </w:rPr>
              <w:t>在成长过程中对职业目标和学习实践行动路径进</w:t>
            </w: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>行动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态优化，通过积极行动应对变化和挑战</w:t>
            </w:r>
          </w:p>
        </w:tc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2B4C29EA">
            <w:pPr>
              <w:pStyle w:val="1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F7B35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448" w:type="dxa"/>
            <w:vAlign w:val="top"/>
          </w:tcPr>
          <w:p w14:paraId="31319B6C">
            <w:pPr>
              <w:spacing w:before="163" w:line="229" w:lineRule="auto"/>
              <w:ind w:left="481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总分</w:t>
            </w:r>
          </w:p>
        </w:tc>
        <w:tc>
          <w:tcPr>
            <w:tcW w:w="6755" w:type="dxa"/>
            <w:vAlign w:val="top"/>
          </w:tcPr>
          <w:p w14:paraId="6E9A3321">
            <w:pPr>
              <w:pStyle w:val="1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7" w:type="dxa"/>
            <w:vAlign w:val="top"/>
          </w:tcPr>
          <w:p w14:paraId="50CA7747">
            <w:pPr>
              <w:spacing w:before="127" w:line="340" w:lineRule="exact"/>
              <w:ind w:left="26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position w:val="2"/>
                <w:sz w:val="28"/>
                <w:szCs w:val="28"/>
              </w:rPr>
              <w:t>100</w:t>
            </w:r>
          </w:p>
        </w:tc>
      </w:tr>
    </w:tbl>
    <w:p w14:paraId="316190B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六、奖项设置</w:t>
      </w:r>
    </w:p>
    <w:p w14:paraId="67A1C9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  <w:sectPr>
          <w:footerReference r:id="rId5" w:type="default"/>
          <w:pgSz w:w="11906" w:h="16838"/>
          <w:pgMar w:top="1431" w:right="1410" w:bottom="1755" w:left="1420" w:header="0" w:footer="1389" w:gutter="0"/>
          <w:cols w:space="720" w:num="1"/>
        </w:sect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成长赛道设置金奖、银奖、铜奖，以及优秀指导教师奖等奖项。</w:t>
      </w:r>
    </w:p>
    <w:p w14:paraId="1D83DE0B">
      <w:pPr>
        <w:spacing w:before="119" w:line="499" w:lineRule="exact"/>
        <w:ind w:left="26"/>
        <w:rPr>
          <w:rFonts w:hint="eastAsia" w:ascii="方正黑体_GBK" w:hAnsi="方正黑体_GBK" w:eastAsia="方正黑体_GBK" w:cs="方正黑体_GBK"/>
          <w:spacing w:val="-6"/>
          <w:position w:val="4"/>
          <w:sz w:val="31"/>
          <w:szCs w:val="31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-6"/>
          <w:position w:val="4"/>
          <w:sz w:val="31"/>
          <w:szCs w:val="31"/>
          <w:lang w:val="en-US" w:eastAsia="zh-CN"/>
        </w:rPr>
        <w:t>附件  2</w:t>
      </w:r>
    </w:p>
    <w:p w14:paraId="7A015E3B">
      <w:pPr>
        <w:spacing w:before="45" w:line="234" w:lineRule="auto"/>
        <w:ind w:left="1157"/>
        <w:outlineLvl w:val="2"/>
        <w:rPr>
          <w:rFonts w:ascii="Arial"/>
          <w:sz w:val="21"/>
        </w:rPr>
      </w:pPr>
      <w:r>
        <w:rPr>
          <w:rFonts w:ascii="方正小标宋简体" w:hAnsi="方正小标宋简体" w:eastAsia="方正小标宋简体" w:cs="方正小标宋简体"/>
          <w:spacing w:val="5"/>
          <w:sz w:val="43"/>
          <w:szCs w:val="43"/>
        </w:rPr>
        <w:t>大学生职业规划大赛就业赛道方案</w:t>
      </w:r>
    </w:p>
    <w:p w14:paraId="53B2BF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480" w:lineRule="exact"/>
        <w:ind w:left="640"/>
        <w:textAlignment w:val="baseline"/>
        <w:outlineLvl w:val="1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一、比赛内容</w:t>
      </w:r>
    </w:p>
    <w:p w14:paraId="1D0EBA5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line="480" w:lineRule="exact"/>
        <w:ind w:left="20" w:right="87" w:firstLine="621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考察学生求职实战能力，个人综合素质、专业能力与目标职业的契合度，个人发展路径与就业市场需求的适应度。参赛学生可获得岗位录用意向。</w:t>
      </w:r>
    </w:p>
    <w:p w14:paraId="37FA614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640"/>
        <w:textAlignment w:val="baseline"/>
        <w:outlineLvl w:val="1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二、参赛组别和对象</w:t>
      </w:r>
    </w:p>
    <w:p w14:paraId="3AA34C7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line="480" w:lineRule="exact"/>
        <w:ind w:left="5" w:right="80" w:firstLine="636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就业赛道设高教本科生组、高教研究生组和职教组，参赛对象为普通高等学校全日制本、专科高年级计划求职学生， 以及全体研究生。高教本科生组面向普通本科三、四年级（部分专业五年级）学生（不含已通过推免获得录取资格的学生），全体第二学士学位学生；高教研究生组面向全体研究生， 以及本硕（博）连读学生、直博生中， 已获得本科学历的学生；职教组面向职教本科三、四年级学生和高职（专科）二、三年级学生。</w:t>
      </w:r>
    </w:p>
    <w:p w14:paraId="320389B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480" w:lineRule="exact"/>
        <w:ind w:left="641"/>
        <w:textAlignment w:val="baseline"/>
        <w:outlineLvl w:val="1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三、参赛材料要求</w:t>
      </w:r>
    </w:p>
    <w:p w14:paraId="77B43C6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1" w:line="480" w:lineRule="exact"/>
        <w:jc w:val="righ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选手在大赛平台（网址：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fldChar w:fldCharType="begin"/>
      </w: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instrText xml:space="preserve"> HYPERLINK "zgs.chsi.com.cn" </w:instrTex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fldChar w:fldCharType="separate"/>
      </w: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zgs.chsi.com.cn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fldChar w:fldCharType="end"/>
      </w: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）提交以下参赛材料：</w:t>
      </w:r>
    </w:p>
    <w:p w14:paraId="1D33E94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6" w:line="480" w:lineRule="exact"/>
        <w:ind w:left="613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（一）求职简历（PDF 格式）。</w:t>
      </w:r>
    </w:p>
    <w:p w14:paraId="22A42B1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9" w:line="480" w:lineRule="exact"/>
        <w:ind w:left="613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（二）求职综合展示（PPT 格式，不超过 50MB）。</w:t>
      </w:r>
    </w:p>
    <w:p w14:paraId="2B4B938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2" w:line="480" w:lineRule="exact"/>
        <w:ind w:left="7" w:right="100" w:firstLine="605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（三）辅助证明材料，包括实践、实习、获奖等证明材料（PDF格式，整合为单个文件，不超过 10MB）。</w:t>
      </w:r>
    </w:p>
    <w:p w14:paraId="26843E0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480" w:lineRule="exact"/>
        <w:ind w:left="20" w:firstLine="593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sectPr>
          <w:headerReference r:id="rId6" w:type="default"/>
          <w:footerReference r:id="rId7" w:type="default"/>
          <w:pgSz w:w="11906" w:h="16838"/>
          <w:pgMar w:top="2622" w:right="1406" w:bottom="1755" w:left="1539" w:header="2132" w:footer="1389" w:gutter="0"/>
          <w:cols w:space="720" w:num="1"/>
        </w:sect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（四）进入省级复赛的选手，需在指定平台提交求职简历、求职综合展示、辅助证明材料及视频（求职综合展示的影像视频</w:t>
      </w:r>
    </w:p>
    <w:p w14:paraId="5D817F51">
      <w:pPr>
        <w:pStyle w:val="2"/>
        <w:spacing w:before="114" w:line="298" w:lineRule="auto"/>
        <w:ind w:right="28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</w:p>
    <w:p w14:paraId="15B8DF7A">
      <w:pPr>
        <w:pStyle w:val="2"/>
        <w:spacing w:before="114" w:line="298" w:lineRule="auto"/>
        <w:ind w:right="28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</w:p>
    <w:p w14:paraId="79C2A1B1">
      <w:pPr>
        <w:pStyle w:val="2"/>
        <w:spacing w:before="114" w:line="298" w:lineRule="auto"/>
        <w:ind w:right="28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时间不超过 4 分钟，文件为 MP4 格式，要求画面清晰，播放流畅，大小不超过 400M）。</w:t>
      </w:r>
    </w:p>
    <w:p w14:paraId="0446AA7F">
      <w:pPr>
        <w:spacing w:before="1" w:line="227" w:lineRule="auto"/>
        <w:ind w:left="815"/>
        <w:outlineLvl w:val="1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四、比赛环节</w:t>
      </w:r>
    </w:p>
    <w:p w14:paraId="0BF85DD0">
      <w:pPr>
        <w:keepNext w:val="0"/>
        <w:keepLines w:val="0"/>
        <w:widowControl/>
        <w:suppressLineNumbers w:val="0"/>
        <w:ind w:firstLine="584" w:firstLineChars="200"/>
        <w:jc w:val="left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zh-CN" w:bidi="ar-SA"/>
        </w:rPr>
        <w:t xml:space="preserve">（一）省赛复赛：参照全国总决赛评审规则，评委对参赛材 </w:t>
      </w:r>
    </w:p>
    <w:p w14:paraId="461ECBAD">
      <w:pPr>
        <w:keepNext w:val="0"/>
        <w:keepLines w:val="0"/>
        <w:widowControl/>
        <w:suppressLineNumbers w:val="0"/>
        <w:ind w:firstLine="292" w:firstLineChars="100"/>
        <w:jc w:val="left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zh-CN" w:bidi="ar-SA"/>
        </w:rPr>
        <w:t xml:space="preserve">料进行网络评审，确定入围省级决赛参赛选手。 </w:t>
      </w:r>
    </w:p>
    <w:p w14:paraId="09F3982F">
      <w:pPr>
        <w:keepNext w:val="0"/>
        <w:keepLines w:val="0"/>
        <w:widowControl/>
        <w:suppressLineNumbers w:val="0"/>
        <w:ind w:firstLine="584" w:firstLineChars="200"/>
        <w:jc w:val="left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zh-CN" w:bidi="ar-SA"/>
        </w:rPr>
        <w:t>（二）省级决赛：具体事宜另行通知。</w:t>
      </w:r>
    </w:p>
    <w:p w14:paraId="22E3953F">
      <w:pPr>
        <w:pStyle w:val="2"/>
        <w:spacing w:before="61" w:line="286" w:lineRule="auto"/>
        <w:ind w:left="174" w:right="128" w:firstLine="647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1.主题陈述（6 分钟）：选手结合求职综合展示 PPT ，陈述个人求职意向和职业准备情况。</w:t>
      </w:r>
    </w:p>
    <w:p w14:paraId="2BB9217A">
      <w:pPr>
        <w:pStyle w:val="2"/>
        <w:spacing w:before="3" w:line="296" w:lineRule="auto"/>
        <w:ind w:left="207" w:right="124" w:firstLine="583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2.综合面试（6 分钟）：评委提出真实工作场景中可能遇到的问题，选手提出解决方案；评委结合选手陈述自由提问。</w:t>
      </w:r>
    </w:p>
    <w:p w14:paraId="6BFFF929">
      <w:pPr>
        <w:spacing w:before="22" w:line="227" w:lineRule="auto"/>
        <w:ind w:left="805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五、评审标准</w:t>
      </w:r>
    </w:p>
    <w:p w14:paraId="35BE46CE">
      <w:pPr>
        <w:spacing w:line="60" w:lineRule="auto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</w:p>
    <w:tbl>
      <w:tblPr>
        <w:tblStyle w:val="9"/>
        <w:tblW w:w="91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0"/>
        <w:gridCol w:w="6809"/>
        <w:gridCol w:w="865"/>
      </w:tblGrid>
      <w:tr w14:paraId="4B81B0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70" w:type="dxa"/>
            <w:vAlign w:val="top"/>
          </w:tcPr>
          <w:p w14:paraId="60B486E6">
            <w:pPr>
              <w:spacing w:before="152" w:line="224" w:lineRule="auto"/>
              <w:ind w:left="467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指标</w:t>
            </w:r>
          </w:p>
        </w:tc>
        <w:tc>
          <w:tcPr>
            <w:tcW w:w="6809" w:type="dxa"/>
            <w:vAlign w:val="top"/>
          </w:tcPr>
          <w:p w14:paraId="09D978CF">
            <w:pPr>
              <w:spacing w:before="151" w:line="222" w:lineRule="auto"/>
              <w:ind w:left="3142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说明</w:t>
            </w:r>
          </w:p>
        </w:tc>
        <w:tc>
          <w:tcPr>
            <w:tcW w:w="865" w:type="dxa"/>
            <w:vAlign w:val="top"/>
          </w:tcPr>
          <w:p w14:paraId="5FCF1E4E">
            <w:pPr>
              <w:spacing w:before="152" w:line="223" w:lineRule="auto"/>
              <w:ind w:left="171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分值</w:t>
            </w:r>
          </w:p>
        </w:tc>
      </w:tr>
      <w:tr w14:paraId="57958E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1470" w:type="dxa"/>
            <w:vMerge w:val="restart"/>
            <w:tcBorders>
              <w:bottom w:val="nil"/>
            </w:tcBorders>
            <w:vAlign w:val="top"/>
          </w:tcPr>
          <w:p w14:paraId="020A7611">
            <w:pPr>
              <w:pStyle w:val="10"/>
              <w:spacing w:line="311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</w:p>
          <w:p w14:paraId="53F60A59">
            <w:pPr>
              <w:pStyle w:val="10"/>
              <w:spacing w:line="312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</w:p>
          <w:p w14:paraId="59A761A5">
            <w:pPr>
              <w:spacing w:before="103" w:line="228" w:lineRule="auto"/>
              <w:ind w:left="205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职业目标</w:t>
            </w:r>
          </w:p>
        </w:tc>
        <w:tc>
          <w:tcPr>
            <w:tcW w:w="6809" w:type="dxa"/>
            <w:vAlign w:val="top"/>
          </w:tcPr>
          <w:p w14:paraId="2BD8C148">
            <w:pPr>
              <w:spacing w:before="109" w:line="224" w:lineRule="auto"/>
              <w:ind w:left="117" w:right="96" w:firstLine="18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能够结合就业市场需求和个人所学专业、能力及兴趣等特点，合理设定职业目标</w:t>
            </w:r>
          </w:p>
        </w:tc>
        <w:tc>
          <w:tcPr>
            <w:tcW w:w="865" w:type="dxa"/>
            <w:vMerge w:val="restart"/>
            <w:tcBorders>
              <w:bottom w:val="nil"/>
            </w:tcBorders>
            <w:vAlign w:val="top"/>
          </w:tcPr>
          <w:p w14:paraId="3FA47DD3">
            <w:pPr>
              <w:pStyle w:val="10"/>
              <w:spacing w:line="308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</w:p>
          <w:p w14:paraId="0181F084">
            <w:pPr>
              <w:pStyle w:val="10"/>
              <w:spacing w:line="309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</w:p>
          <w:p w14:paraId="4117325D">
            <w:pPr>
              <w:spacing w:before="80" w:line="369" w:lineRule="exact"/>
              <w:ind w:left="325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10</w:t>
            </w:r>
          </w:p>
        </w:tc>
      </w:tr>
      <w:tr w14:paraId="2020E8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1470" w:type="dxa"/>
            <w:vMerge w:val="continue"/>
            <w:tcBorders>
              <w:top w:val="nil"/>
            </w:tcBorders>
            <w:vAlign w:val="top"/>
          </w:tcPr>
          <w:p w14:paraId="4D00C9C0">
            <w:pPr>
              <w:pStyle w:val="10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6809" w:type="dxa"/>
            <w:vAlign w:val="top"/>
          </w:tcPr>
          <w:p w14:paraId="7678E1C9">
            <w:pPr>
              <w:spacing w:before="109" w:line="224" w:lineRule="auto"/>
              <w:ind w:left="130" w:right="103" w:hanging="4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深入调研并准确把握目标职业的任职要求、工作内容、业务流程和发展路径等</w:t>
            </w:r>
          </w:p>
        </w:tc>
        <w:tc>
          <w:tcPr>
            <w:tcW w:w="865" w:type="dxa"/>
            <w:vMerge w:val="continue"/>
            <w:tcBorders>
              <w:top w:val="nil"/>
            </w:tcBorders>
            <w:vAlign w:val="top"/>
          </w:tcPr>
          <w:p w14:paraId="29669000">
            <w:pPr>
              <w:pStyle w:val="10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</w:p>
        </w:tc>
      </w:tr>
      <w:tr w14:paraId="7977D3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</w:trPr>
        <w:tc>
          <w:tcPr>
            <w:tcW w:w="1470" w:type="dxa"/>
            <w:vMerge w:val="restart"/>
            <w:tcBorders>
              <w:bottom w:val="nil"/>
            </w:tcBorders>
            <w:vAlign w:val="top"/>
          </w:tcPr>
          <w:p w14:paraId="6E1C2740">
            <w:pPr>
              <w:pStyle w:val="10"/>
              <w:spacing w:line="277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</w:p>
          <w:p w14:paraId="01C10B73">
            <w:pPr>
              <w:pStyle w:val="10"/>
              <w:spacing w:line="278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</w:p>
          <w:p w14:paraId="6A64D70B">
            <w:pPr>
              <w:spacing w:before="103" w:line="348" w:lineRule="auto"/>
              <w:ind w:left="341" w:right="310" w:firstLine="175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岗位胜任力</w:t>
            </w:r>
          </w:p>
        </w:tc>
        <w:tc>
          <w:tcPr>
            <w:tcW w:w="6809" w:type="dxa"/>
            <w:vAlign w:val="top"/>
          </w:tcPr>
          <w:p w14:paraId="5F08FBBD">
            <w:pPr>
              <w:spacing w:before="111" w:line="235" w:lineRule="auto"/>
              <w:ind w:left="127" w:right="97" w:hanging="8"/>
              <w:jc w:val="both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865" w:type="dxa"/>
            <w:vAlign w:val="top"/>
          </w:tcPr>
          <w:p w14:paraId="486F7943">
            <w:pPr>
              <w:pStyle w:val="10"/>
              <w:spacing w:line="395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</w:p>
          <w:p w14:paraId="20835671">
            <w:pPr>
              <w:spacing w:before="81" w:line="368" w:lineRule="exact"/>
              <w:ind w:left="297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40</w:t>
            </w:r>
          </w:p>
        </w:tc>
      </w:tr>
      <w:tr w14:paraId="31DD8C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1470" w:type="dxa"/>
            <w:vMerge w:val="continue"/>
            <w:tcBorders>
              <w:top w:val="nil"/>
            </w:tcBorders>
            <w:vAlign w:val="top"/>
          </w:tcPr>
          <w:p w14:paraId="2FEEC2E3">
            <w:pPr>
              <w:pStyle w:val="10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6809" w:type="dxa"/>
            <w:vAlign w:val="top"/>
          </w:tcPr>
          <w:p w14:paraId="4105ED5B">
            <w:pPr>
              <w:spacing w:before="113" w:line="223" w:lineRule="auto"/>
              <w:ind w:left="125" w:right="96" w:hanging="6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865" w:type="dxa"/>
            <w:vAlign w:val="top"/>
          </w:tcPr>
          <w:p w14:paraId="62A8146F">
            <w:pPr>
              <w:spacing w:before="258" w:line="369" w:lineRule="exact"/>
              <w:ind w:left="297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40</w:t>
            </w:r>
          </w:p>
        </w:tc>
      </w:tr>
      <w:tr w14:paraId="64EA09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145" w:hRule="atLeast"/>
        </w:trPr>
        <w:tc>
          <w:tcPr>
            <w:tcW w:w="1470" w:type="dxa"/>
            <w:vAlign w:val="top"/>
          </w:tcPr>
          <w:p w14:paraId="43419989">
            <w:pPr>
              <w:pStyle w:val="10"/>
              <w:spacing w:line="315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</w:p>
          <w:p w14:paraId="7C0DA5AE">
            <w:pPr>
              <w:spacing w:before="102" w:line="229" w:lineRule="auto"/>
              <w:ind w:left="199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发展潜力</w:t>
            </w:r>
          </w:p>
        </w:tc>
        <w:tc>
          <w:tcPr>
            <w:tcW w:w="6809" w:type="dxa"/>
            <w:vAlign w:val="top"/>
          </w:tcPr>
          <w:p w14:paraId="4B61452B">
            <w:pPr>
              <w:spacing w:before="240" w:line="262" w:lineRule="auto"/>
              <w:ind w:left="136" w:right="3" w:hanging="17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865" w:type="dxa"/>
            <w:vAlign w:val="top"/>
          </w:tcPr>
          <w:p w14:paraId="443FBCD7">
            <w:pPr>
              <w:pStyle w:val="10"/>
              <w:spacing w:line="309" w:lineRule="auto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</w:p>
          <w:p w14:paraId="407AF738">
            <w:pPr>
              <w:spacing w:before="80" w:line="369" w:lineRule="exact"/>
              <w:ind w:left="325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10</w:t>
            </w:r>
          </w:p>
        </w:tc>
      </w:tr>
      <w:tr w14:paraId="24BDC9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470" w:type="dxa"/>
            <w:vAlign w:val="top"/>
          </w:tcPr>
          <w:p w14:paraId="3EA38E73">
            <w:pPr>
              <w:spacing w:before="163" w:line="229" w:lineRule="auto"/>
              <w:ind w:left="492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总分</w:t>
            </w:r>
          </w:p>
        </w:tc>
        <w:tc>
          <w:tcPr>
            <w:tcW w:w="6809" w:type="dxa"/>
            <w:vAlign w:val="top"/>
          </w:tcPr>
          <w:p w14:paraId="5C403389">
            <w:pPr>
              <w:pStyle w:val="10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865" w:type="dxa"/>
            <w:vAlign w:val="top"/>
          </w:tcPr>
          <w:p w14:paraId="60E7E456">
            <w:pPr>
              <w:spacing w:before="127" w:line="340" w:lineRule="exact"/>
              <w:ind w:left="270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8"/>
                <w:szCs w:val="28"/>
                <w:lang w:val="en-US" w:eastAsia="en-US" w:bidi="ar-SA"/>
              </w:rPr>
              <w:t>100</w:t>
            </w:r>
          </w:p>
        </w:tc>
      </w:tr>
    </w:tbl>
    <w:p w14:paraId="409F534F">
      <w:pP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</w:p>
    <w:p w14:paraId="4B86F7E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584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六、奖项设置</w:t>
      </w:r>
    </w:p>
    <w:p w14:paraId="034C0C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584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t>成长赛道设置金奖、银奖、铜奖，以及优秀指导教师奖等奖项。</w:t>
      </w:r>
    </w:p>
    <w:p w14:paraId="45A5D7A1">
      <w:pP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28"/>
          <w:szCs w:val="28"/>
          <w:lang w:val="en-US" w:eastAsia="en-US" w:bidi="ar-SA"/>
        </w:rPr>
        <w:sectPr>
          <w:headerReference r:id="rId8" w:type="default"/>
          <w:footerReference r:id="rId9" w:type="default"/>
          <w:pgSz w:w="11906" w:h="16838"/>
          <w:pgMar w:top="400" w:right="1377" w:bottom="1755" w:left="1378" w:header="0" w:footer="1387" w:gutter="0"/>
          <w:cols w:space="720" w:num="1"/>
        </w:sectPr>
      </w:pPr>
    </w:p>
    <w:p w14:paraId="01DE1A1B">
      <w:pPr>
        <w:spacing w:before="119" w:line="499" w:lineRule="exact"/>
        <w:ind w:left="26"/>
        <w:rPr>
          <w:rFonts w:hint="eastAsia" w:ascii="方正黑体_GBK" w:hAnsi="方正黑体_GBK" w:eastAsia="方正黑体_GBK" w:cs="方正黑体_GBK"/>
          <w:spacing w:val="-6"/>
          <w:position w:val="4"/>
          <w:sz w:val="31"/>
          <w:szCs w:val="31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-6"/>
          <w:position w:val="4"/>
          <w:sz w:val="31"/>
          <w:szCs w:val="31"/>
          <w:lang w:val="en-US" w:eastAsia="zh-CN"/>
        </w:rPr>
        <w:t>附件  3</w:t>
      </w:r>
    </w:p>
    <w:p w14:paraId="700E886C">
      <w:pPr>
        <w:jc w:val="center"/>
        <w:rPr>
          <w:rFonts w:hint="eastAsia" w:ascii="黑体" w:hAnsi="黑体" w:eastAsia="黑体" w:cs="黑体"/>
          <w:b/>
          <w:bCs/>
          <w:color w:val="000000"/>
          <w:spacing w:val="8"/>
          <w:sz w:val="44"/>
          <w:szCs w:val="44"/>
          <w:vertAlign w:val="baseline"/>
          <w:lang w:val="en-US" w:eastAsia="zh-CN"/>
        </w:rPr>
      </w:pPr>
    </w:p>
    <w:p w14:paraId="089F40A9">
      <w:pPr>
        <w:jc w:val="center"/>
        <w:rPr>
          <w:rFonts w:hint="eastAsia" w:ascii="黑体" w:hAnsi="黑体" w:eastAsia="黑体" w:cs="黑体"/>
          <w:b/>
          <w:bCs/>
          <w:color w:val="000000"/>
          <w:spacing w:val="8"/>
          <w:sz w:val="44"/>
          <w:szCs w:val="44"/>
          <w:vertAlign w:val="baseline"/>
          <w:lang w:val="en-US" w:eastAsia="zh-CN"/>
        </w:rPr>
      </w:pPr>
    </w:p>
    <w:p w14:paraId="355E33AD">
      <w:pPr>
        <w:jc w:val="center"/>
        <w:rPr>
          <w:rFonts w:hint="eastAsia" w:ascii="黑体" w:hAnsi="黑体" w:eastAsia="黑体" w:cs="黑体"/>
          <w:b/>
          <w:bCs/>
          <w:color w:val="000000"/>
          <w:spacing w:val="8"/>
          <w:sz w:val="44"/>
          <w:szCs w:val="44"/>
          <w:vertAlign w:val="baseline"/>
          <w:lang w:val="en-US" w:eastAsia="zh-CN"/>
        </w:rPr>
      </w:pPr>
    </w:p>
    <w:p w14:paraId="46A11500">
      <w:pPr>
        <w:jc w:val="center"/>
        <w:rPr>
          <w:sz w:val="44"/>
          <w:szCs w:val="44"/>
          <w:vertAlign w:val="baseline"/>
        </w:rPr>
      </w:pPr>
      <w:r>
        <w:rPr>
          <w:rFonts w:hint="eastAsia" w:ascii="黑体" w:hAnsi="黑体" w:eastAsia="黑体" w:cs="黑体"/>
          <w:b/>
          <w:bCs/>
          <w:color w:val="000000"/>
          <w:spacing w:val="8"/>
          <w:sz w:val="44"/>
          <w:szCs w:val="44"/>
          <w:vertAlign w:val="baseline"/>
          <w:lang w:val="en-US" w:eastAsia="zh-CN"/>
        </w:rPr>
        <w:t>****学院联络员信息表</w:t>
      </w:r>
    </w:p>
    <w:tbl>
      <w:tblPr>
        <w:tblStyle w:val="6"/>
        <w:tblW w:w="88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67"/>
        <w:gridCol w:w="1767"/>
        <w:gridCol w:w="1767"/>
        <w:gridCol w:w="1768"/>
        <w:gridCol w:w="1768"/>
      </w:tblGrid>
      <w:tr w14:paraId="6EEED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4" w:hRule="atLeast"/>
        </w:trPr>
        <w:tc>
          <w:tcPr>
            <w:tcW w:w="1767" w:type="dxa"/>
          </w:tcPr>
          <w:p w14:paraId="5BE48670">
            <w:pPr>
              <w:spacing w:line="480" w:lineRule="auto"/>
              <w:jc w:val="center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  <w:t>序号</w:t>
            </w:r>
          </w:p>
        </w:tc>
        <w:tc>
          <w:tcPr>
            <w:tcW w:w="1767" w:type="dxa"/>
          </w:tcPr>
          <w:p w14:paraId="234E7DB0">
            <w:pPr>
              <w:spacing w:line="480" w:lineRule="auto"/>
              <w:jc w:val="center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  <w:t>姓名</w:t>
            </w:r>
          </w:p>
        </w:tc>
        <w:tc>
          <w:tcPr>
            <w:tcW w:w="1767" w:type="dxa"/>
          </w:tcPr>
          <w:p w14:paraId="2BA00AD8">
            <w:pPr>
              <w:spacing w:line="480" w:lineRule="auto"/>
              <w:jc w:val="center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  <w:t>性别</w:t>
            </w:r>
          </w:p>
        </w:tc>
        <w:tc>
          <w:tcPr>
            <w:tcW w:w="1768" w:type="dxa"/>
          </w:tcPr>
          <w:p w14:paraId="246EFAC5">
            <w:pPr>
              <w:spacing w:line="480" w:lineRule="auto"/>
              <w:jc w:val="center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  <w:t>职务</w:t>
            </w:r>
          </w:p>
        </w:tc>
        <w:tc>
          <w:tcPr>
            <w:tcW w:w="1768" w:type="dxa"/>
          </w:tcPr>
          <w:p w14:paraId="373AEB46">
            <w:pPr>
              <w:spacing w:line="480" w:lineRule="auto"/>
              <w:jc w:val="center"/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44"/>
                <w:szCs w:val="44"/>
                <w:vertAlign w:val="baseline"/>
                <w:lang w:val="en-US" w:eastAsia="zh-CN"/>
              </w:rPr>
              <w:t>手机号</w:t>
            </w:r>
          </w:p>
        </w:tc>
      </w:tr>
      <w:tr w14:paraId="4527B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48" w:hRule="atLeast"/>
        </w:trPr>
        <w:tc>
          <w:tcPr>
            <w:tcW w:w="1767" w:type="dxa"/>
          </w:tcPr>
          <w:p w14:paraId="612C1217">
            <w:pPr>
              <w:rPr>
                <w:vertAlign w:val="baseline"/>
              </w:rPr>
            </w:pPr>
          </w:p>
        </w:tc>
        <w:tc>
          <w:tcPr>
            <w:tcW w:w="1767" w:type="dxa"/>
          </w:tcPr>
          <w:p w14:paraId="3930D3FB">
            <w:pPr>
              <w:rPr>
                <w:vertAlign w:val="baseline"/>
              </w:rPr>
            </w:pPr>
          </w:p>
        </w:tc>
        <w:tc>
          <w:tcPr>
            <w:tcW w:w="1767" w:type="dxa"/>
          </w:tcPr>
          <w:p w14:paraId="61D13E0A">
            <w:pPr>
              <w:rPr>
                <w:vertAlign w:val="baseline"/>
              </w:rPr>
            </w:pPr>
          </w:p>
        </w:tc>
        <w:tc>
          <w:tcPr>
            <w:tcW w:w="1768" w:type="dxa"/>
          </w:tcPr>
          <w:p w14:paraId="4A913617">
            <w:pPr>
              <w:rPr>
                <w:vertAlign w:val="baseline"/>
              </w:rPr>
            </w:pPr>
          </w:p>
        </w:tc>
        <w:tc>
          <w:tcPr>
            <w:tcW w:w="1768" w:type="dxa"/>
          </w:tcPr>
          <w:p w14:paraId="1603E2C7">
            <w:pPr>
              <w:rPr>
                <w:vertAlign w:val="baseline"/>
              </w:rPr>
            </w:pPr>
          </w:p>
        </w:tc>
      </w:tr>
    </w:tbl>
    <w:p w14:paraId="04C35A2E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09F85E09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29138D9C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3135E892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0040CE96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3FFC1D98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5F843D57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72292A28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513EB9BB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37ED1D5E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1B740C11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73E29D62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1F92507C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386038C3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6C4B3E4C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3871A99A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77BBC0A5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6AB27C14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02F56CC8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16C3C7AB">
      <w:pPr>
        <w:spacing w:before="82" w:line="224" w:lineRule="auto"/>
        <w:rPr>
          <w:rFonts w:ascii="黑体" w:hAnsi="黑体" w:eastAsia="黑体" w:cs="黑体"/>
          <w:b/>
          <w:bCs/>
          <w:color w:val="000000"/>
          <w:spacing w:val="26"/>
          <w:sz w:val="30"/>
          <w:szCs w:val="30"/>
        </w:rPr>
      </w:pPr>
    </w:p>
    <w:p w14:paraId="03111FC9">
      <w:pPr>
        <w:spacing w:before="119" w:line="499" w:lineRule="exact"/>
        <w:ind w:left="26"/>
        <w:rPr>
          <w:rFonts w:hint="eastAsia" w:ascii="方正黑体_GBK" w:hAnsi="方正黑体_GBK" w:eastAsia="方正黑体_GBK" w:cs="方正黑体_GBK"/>
          <w:spacing w:val="-6"/>
          <w:position w:val="4"/>
          <w:sz w:val="31"/>
          <w:szCs w:val="31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-6"/>
          <w:position w:val="4"/>
          <w:sz w:val="31"/>
          <w:szCs w:val="31"/>
          <w:lang w:val="en-US" w:eastAsia="zh-CN"/>
        </w:rPr>
        <w:t>附件  4</w:t>
      </w:r>
    </w:p>
    <w:p w14:paraId="5B4008F3">
      <w:pPr>
        <w:spacing w:line="660" w:lineRule="exact"/>
        <w:jc w:val="center"/>
        <w:rPr>
          <w:rFonts w:hint="eastAsia" w:ascii="黑体" w:hAnsi="黑体" w:eastAsia="黑体" w:cs="黑体"/>
          <w:b/>
          <w:bCs/>
          <w:color w:val="000000"/>
          <w:spacing w:val="8"/>
          <w:sz w:val="44"/>
          <w:szCs w:val="44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pacing w:val="8"/>
          <w:sz w:val="44"/>
          <w:szCs w:val="44"/>
          <w:vertAlign w:val="baseline"/>
          <w:lang w:val="en-US" w:eastAsia="zh-CN"/>
        </w:rPr>
        <w:t>优秀组织奖评分标准</w:t>
      </w:r>
    </w:p>
    <w:tbl>
      <w:tblPr>
        <w:tblStyle w:val="6"/>
        <w:tblW w:w="8522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9"/>
        <w:gridCol w:w="1671"/>
        <w:gridCol w:w="4672"/>
      </w:tblGrid>
      <w:tr w14:paraId="60537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2179" w:type="dxa"/>
            <w:noWrap w:val="0"/>
            <w:vAlign w:val="center"/>
          </w:tcPr>
          <w:p w14:paraId="10CD59F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pacing w:val="8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8"/>
                <w:sz w:val="30"/>
                <w:szCs w:val="30"/>
                <w:vertAlign w:val="baseline"/>
                <w:lang w:val="en-US" w:eastAsia="zh-CN"/>
              </w:rPr>
              <w:t>评分要素</w:t>
            </w:r>
          </w:p>
        </w:tc>
        <w:tc>
          <w:tcPr>
            <w:tcW w:w="1671" w:type="dxa"/>
            <w:noWrap w:val="0"/>
            <w:vAlign w:val="center"/>
          </w:tcPr>
          <w:p w14:paraId="341150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pacing w:val="8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8"/>
                <w:sz w:val="30"/>
                <w:szCs w:val="30"/>
                <w:vertAlign w:val="baseline"/>
                <w:lang w:val="en-US" w:eastAsia="zh-CN"/>
              </w:rPr>
              <w:t>评分要点</w:t>
            </w:r>
          </w:p>
        </w:tc>
        <w:tc>
          <w:tcPr>
            <w:tcW w:w="4672" w:type="dxa"/>
            <w:noWrap w:val="0"/>
            <w:vAlign w:val="center"/>
          </w:tcPr>
          <w:p w14:paraId="15A1052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pacing w:val="8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8"/>
                <w:sz w:val="30"/>
                <w:szCs w:val="30"/>
                <w:vertAlign w:val="baseline"/>
                <w:lang w:val="en-US" w:eastAsia="zh-CN"/>
              </w:rPr>
              <w:t>具体描述</w:t>
            </w:r>
          </w:p>
        </w:tc>
      </w:tr>
      <w:tr w14:paraId="415E0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79" w:type="dxa"/>
            <w:vMerge w:val="restart"/>
            <w:noWrap w:val="0"/>
            <w:vAlign w:val="center"/>
          </w:tcPr>
          <w:p w14:paraId="5767B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组织保障情况</w:t>
            </w:r>
          </w:p>
          <w:p w14:paraId="444FD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（20分）</w:t>
            </w:r>
          </w:p>
        </w:tc>
        <w:tc>
          <w:tcPr>
            <w:tcW w:w="1671" w:type="dxa"/>
            <w:noWrap w:val="0"/>
            <w:vAlign w:val="center"/>
          </w:tcPr>
          <w:p w14:paraId="6B44DF57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成立机构（10分）</w:t>
            </w:r>
          </w:p>
        </w:tc>
        <w:tc>
          <w:tcPr>
            <w:tcW w:w="4672" w:type="dxa"/>
            <w:noWrap w:val="0"/>
            <w:vAlign w:val="center"/>
          </w:tcPr>
          <w:p w14:paraId="73E774E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成立院级赛事专项工作机构</w:t>
            </w:r>
          </w:p>
        </w:tc>
      </w:tr>
      <w:tr w14:paraId="37203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79" w:type="dxa"/>
            <w:vMerge w:val="continue"/>
            <w:noWrap w:val="0"/>
            <w:vAlign w:val="center"/>
          </w:tcPr>
          <w:p w14:paraId="6BAAB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671" w:type="dxa"/>
            <w:noWrap w:val="0"/>
            <w:vAlign w:val="center"/>
          </w:tcPr>
          <w:p w14:paraId="3AFBD7B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指定方案（10分）</w:t>
            </w:r>
          </w:p>
        </w:tc>
        <w:tc>
          <w:tcPr>
            <w:tcW w:w="4672" w:type="dxa"/>
            <w:noWrap w:val="0"/>
            <w:vAlign w:val="center"/>
          </w:tcPr>
          <w:p w14:paraId="5EF7061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制定赛事专项工作方案</w:t>
            </w:r>
          </w:p>
        </w:tc>
      </w:tr>
      <w:tr w14:paraId="5C1E1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79" w:type="dxa"/>
            <w:noWrap w:val="0"/>
            <w:vAlign w:val="center"/>
          </w:tcPr>
          <w:p w14:paraId="3BB1C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学生参赛情况</w:t>
            </w:r>
          </w:p>
          <w:p w14:paraId="158D8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（50分）</w:t>
            </w:r>
          </w:p>
        </w:tc>
        <w:tc>
          <w:tcPr>
            <w:tcW w:w="1671" w:type="dxa"/>
            <w:noWrap w:val="0"/>
            <w:vAlign w:val="center"/>
          </w:tcPr>
          <w:p w14:paraId="3EDF7B2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参与比</w:t>
            </w:r>
          </w:p>
        </w:tc>
        <w:tc>
          <w:tcPr>
            <w:tcW w:w="4672" w:type="dxa"/>
            <w:noWrap w:val="0"/>
            <w:vAlign w:val="center"/>
          </w:tcPr>
          <w:p w14:paraId="6145F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A：总参与比=全校参与学生人数/全校在校生人数；</w:t>
            </w:r>
          </w:p>
          <w:p w14:paraId="7EE7D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B：学院参与比=学院参与学生人数/学院在校生人数；</w:t>
            </w:r>
          </w:p>
          <w:p w14:paraId="5361E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其中参与学生人数，以在系统中提交完整作品的学生生人数为准。</w:t>
            </w:r>
          </w:p>
          <w:p w14:paraId="68253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此项最终得分=30分*（1+B一A)；得分最高不超过50分。</w:t>
            </w:r>
          </w:p>
        </w:tc>
      </w:tr>
      <w:tr w14:paraId="6907D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79" w:type="dxa"/>
            <w:noWrap w:val="0"/>
            <w:vAlign w:val="center"/>
          </w:tcPr>
          <w:p w14:paraId="52D4B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成绩取得情况</w:t>
            </w:r>
          </w:p>
          <w:p w14:paraId="1D987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（20分）</w:t>
            </w:r>
          </w:p>
        </w:tc>
        <w:tc>
          <w:tcPr>
            <w:tcW w:w="1671" w:type="dxa"/>
            <w:noWrap w:val="0"/>
            <w:vAlign w:val="center"/>
          </w:tcPr>
          <w:p w14:paraId="1E2512D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672" w:type="dxa"/>
            <w:noWrap w:val="0"/>
            <w:vAlign w:val="center"/>
          </w:tcPr>
          <w:p w14:paraId="5BC96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学院有学生获得校级比赛金奖（15分/人），银奖（10分/人）铜奖（5分/人），得分最高不超过20分。</w:t>
            </w:r>
          </w:p>
        </w:tc>
      </w:tr>
      <w:tr w14:paraId="5B2FD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179" w:type="dxa"/>
            <w:noWrap w:val="0"/>
            <w:vAlign w:val="center"/>
          </w:tcPr>
          <w:p w14:paraId="586EA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赛事宣传情况</w:t>
            </w:r>
          </w:p>
          <w:p w14:paraId="68BF2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（10分）</w:t>
            </w:r>
          </w:p>
        </w:tc>
        <w:tc>
          <w:tcPr>
            <w:tcW w:w="1671" w:type="dxa"/>
            <w:noWrap w:val="0"/>
            <w:vAlign w:val="center"/>
          </w:tcPr>
          <w:p w14:paraId="02A102A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672" w:type="dxa"/>
            <w:noWrap w:val="0"/>
            <w:vAlign w:val="center"/>
          </w:tcPr>
          <w:p w14:paraId="753594E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8"/>
                <w:sz w:val="28"/>
                <w:szCs w:val="28"/>
                <w:vertAlign w:val="baseline"/>
                <w:lang w:val="en-US" w:eastAsia="zh-CN"/>
              </w:rPr>
              <w:t>学院在相关新闻媒体宣传赛事活动</w:t>
            </w:r>
          </w:p>
        </w:tc>
      </w:tr>
    </w:tbl>
    <w:p w14:paraId="6A536A8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10056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1B9EB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3540D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AEB6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91590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7832F6"/>
    <w:rsid w:val="6D78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  <w:rPr>
      <w:rFonts w:ascii="Times New Roman" w:hAnsi="Times New Roman" w:eastAsia="宋体" w:cs="Times New Roman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2026-10-26T06:52:00Z</dcterms:created>
  <dc:creator>WPS_1603328116</dc:creator>
  <cp:lastModifiedBy>WPS_1603328116</cp:lastModifiedBy>
  <dcterms:modified xsi:type="dcterms:W3CDTF">2026-10-26T07:12:04Z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C2DF018571994F2B805B33ABADF27C93_11</vt:lpwstr>
  </property>
  <property fmtid="{D5CDD505-2E9C-101B-9397-08002B2CF9AE}" pid="4" name="KSOTemplateDocerSaveRecord">
    <vt:lpwstr>eyJoZGlkIjoiYzdlYWE1NzVjMWI5NzU5NjFmYjA2ZDdhNDE1NTBiMzEiLCJ1c2VySWQiOiIxMTM1MDQ5NzEyIn0=</vt:lpwstr>
  </property>
</Properties>
</file>